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Никол и Бог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2023-04-29</w:t>
      </w:r>
    </w:p>
    <w:p>
      <w:pPr/>
      <w:r>
        <w:t>3 мин. на чтение</w:t>
      </w:r>
    </w:p>
    <w:p/>
    <w:p>
      <w:pPr>
        <w:pStyle w:val="IntenseQuote"/>
      </w:pPr>
      <w:r>
        <w:rPr>
          <w:b/>
          <w:i/>
        </w:rPr>
        <w:t>"Если у церкви плохие отношения с правительством, то у неё плохие отношения с Богом".</w:t>
      </w:r>
    </w:p>
    <w:p>
      <w:r>
        <w:t xml:space="preserve">С каких пор </w:t>
      </w:r>
      <w:r>
        <w:rPr>
          <w:b/>
        </w:rPr>
        <w:t>Никол Пашинян</w:t>
      </w:r>
      <w:r>
        <w:t xml:space="preserve"> стал верующим?</w:t>
      </w:r>
    </w:p>
    <w:p>
      <w:r>
        <w:t>Очевидно, с тех самых пор, как правительство "народного" премьер-министра" Пашиняна наладило хорошие прямые отношения с богом (с каким конкретно не скажем, скорее всего с армянским богом).</w:t>
      </w:r>
    </w:p>
    <w:p>
      <w:r>
        <w:t>Когда Никол Воваевич начал считать себя помазанником божьим?</w:t>
      </w:r>
    </w:p>
    <w:p>
      <w:r>
        <w:t>С того времени когда бог, с которым он наладил хорошие отношения, вручил ему верительную грамоту и благословил на царство земное - пасти армянскую паству и гнать её верной тропинкой к спасению души.</w:t>
      </w:r>
    </w:p>
    <w:p>
      <w:r>
        <w:t xml:space="preserve">Звучит пашиняновский тезис очень свежо и настраивает обывателя на ожидание горячего теологического шоу-диспута между всевозможными экспертами, сенсационных событий типа кары небесной на голову богохульника прямо в буржуазной парламентской говорильне или знамения свыше Католикосу, чтобы тот не обижал божественное правительство, одобренное небесным начальником. Так и есть – это очередной демагогический ход буржуазного политика-популиста в борьбе за власть и умы избирателей. </w:t>
      </w:r>
    </w:p>
    <w:p>
      <w:r>
        <w:t xml:space="preserve">Вроде бы в обращении к высшей мистической инстанции приоритет принадлежит квалифицированным и верифицированным оппонентам народного и, как выясняется, божественного премьер-министра Пашиняна из </w:t>
      </w:r>
      <w:r>
        <w:rPr>
          <w:b/>
        </w:rPr>
        <w:t>ЗАО "Армянская Апостольская Церковь"</w:t>
      </w:r>
      <w:r>
        <w:t>.</w:t>
      </w:r>
    </w:p>
    <w:p>
      <w:r>
        <w:t>Есть такой постулат у клерикалов, что "всякая власть от бога". Поэтому Пашинян апеллирует к этой догме. И действительно, как показывает история, в определённые периоды своего могущества церковь выносит окончательный экспертный вердикт и утверждает угодного ей властителя как официального представителя бога на земле и с этим приходиться считаться.</w:t>
      </w:r>
    </w:p>
    <w:p>
      <w:r>
        <w:t>Но как обычно есть и противоположные случаи, когда государственная власть указывает церкви, кто будет стоять во главе религиозной корпорации и кому из власть предержащих церковь будет выдавать лицензию на богопомазанность.</w:t>
      </w:r>
    </w:p>
    <w:p>
      <w:r>
        <w:t>Конкретно сейчас в буржуазной Армении ЗАО "ААЦ" не имеет большого влияния на умы общественности, и даже предав анафеме Духов Никола Воваевича, церковь ничего от этого не выиграет, ибо обыватель в большинстве своём утратил страх перед всевышним и вряд ли ринется свергать антихриста с трона по зову Католикоса всех армян. Хотя формально, по данным соцопросов, чуть ли не 98,9% населения РА являются верующими христианами.</w:t>
      </w:r>
    </w:p>
    <w:p>
      <w:r>
        <w:t>Поэтому выходит так, что в данном случае Духов Никол бьёт смело и наверняка, ибо осведомлён об отношении большинства граждан к церковным иерархам. Плюс у него есть козыри, например, в виде налоговой инспекции, которая может вдруг проявить нездоровый интерес к собственности и прочим "свечным заводикам" армянских попов.</w:t>
      </w:r>
    </w:p>
    <w:p>
      <w:r>
        <w:t>А в этом случае бог вряд ли чем-то сможет им помочь, и придётся кому-то из совета директоров ЗАО "ААЦ", не приведи господь!, лишиться многого из того, что нажито непосильным трудом и с божьего благоволения…</w:t>
      </w:r>
    </w:p>
    <w:p>
      <w:r>
        <w:t>Теперь всё встаёт на свои места: божий избранник Пашинян, как минимум с 2018 года, претворяет в жизнь замысел господа в отношении армянской нации и армянской государственности. Всё делается по воле божьей и негоже народу оспаривать план всевышнего.</w:t>
      </w:r>
    </w:p>
    <w:p>
      <w:r>
        <w:t>Ко всему этому великолепию армянской буржуазной жизни будет отличным эпиграфом одно из мудрых изречений "Великого армянского философа", которым он поделился с миром в своей фундаментальной статье “Цехакронизм как победная сила</w:t>
      </w:r>
      <w:r>
        <w:rPr>
          <w:b/>
        </w:rPr>
        <w:t xml:space="preserve">” </w:t>
      </w:r>
      <w:r>
        <w:t>написанной в 1932 году:</w:t>
      </w:r>
    </w:p>
    <w:p>
      <w:pPr>
        <w:pStyle w:val="IntenseQuote"/>
      </w:pPr>
      <w:r>
        <w:rPr>
          <w:i/>
        </w:rPr>
        <w:t>“Пока народ рождает посредственности, самовыражение расы происходит через героев, святых и просветителей. Когда мы живем как племя, сказано: мы находимся во внутренней, укрепляющей связи с великими вождями прошлого. У неодухотворённого расой народа не будет сильных и мудрых вождей”.</w:t>
      </w:r>
    </w:p>
    <w:p>
      <w:r>
        <w:t>Кто знает, а вдруг народный премьер-министр Никол Пашинян и есть тот сильный и мудрый вождь, через которого самовыражается раса-род-племя армянское, а боги, с которыми у него и его правительства хорошие отношения, это те самые небожители Айк и Ваагн, создатели вечной метафизической сущности армянского рода-племени-расы?</w:t>
      </w:r>
    </w:p>
    <w:p>
      <w:r>
        <w:t>Ведь как учил Благородный Рыцарь и Великий философ армянской буржуазной нации: неполноценный без одухотворённости расой армянский народ должен беспрекословно отдать себя в руки вождей племени, лидеров расы, которые единственно могут быть законодателями и предводителями слепых народных масс.</w:t>
      </w:r>
    </w:p>
    <w:p>
      <w:r>
        <w:t>Эти вожди – цехамарды – оплодотворённые жарким пламенем родового духа, ведомые богами, интуитивно знают верные пути развития армянского неразумного народа и только под их руководством будут разрешены все социально-экономические проблемы армянской нации и государства, а вместе с этим и безликой массы армянского народа, восстановится “расовая справедливость”. Так было в прошлом, так должно быть в настоящем и так будет в будущем, говорит нам армянский мыслитель и спарапет.</w:t>
      </w:r>
    </w:p>
    <w:p>
      <w:r>
        <w:t xml:space="preserve">А ведь так и было! Славная плеяда вождей буржуазной Армении и армянской нации тому пример – Левон Тер-Петросян, Роберт Кочарян, Серж Саргсян, Никол Пашинян. Истинность теории </w:t>
      </w:r>
      <w:hyperlink r:id="rId11">
        <w:r>
          <w:rPr>
            <w:color w:val="0000FF"/>
            <w:u w:val="single"/>
          </w:rPr>
          <w:t>Гарегина Нжде</w:t>
        </w:r>
      </w:hyperlink>
      <w:r>
        <w:t xml:space="preserve"> подтверждает практика, тут и к Марксу не ходи!</w:t>
      </w:r>
    </w:p>
    <w:p>
      <w:r>
        <w:t>Рабочему классу в Армении беспокоиться не о чем, всё идёт по плану.</w:t>
      </w:r>
    </w:p>
    <w:p>
      <w:r>
        <w:rPr>
          <w:b/>
        </w:rPr>
        <w:t>Автор:</w:t>
      </w:r>
      <w:r>
        <w:t xml:space="preserve"> Рубен Мхитарян</w:t>
      </w:r>
    </w:p>
    <w:p>
      <w:hyperlink r:id="rId12">
        <w:r>
          <w:rPr>
            <w:color w:val="0000FF"/>
            <w:u w:val="single"/>
          </w:rPr>
          <w:t>Источник</w:t>
        </w:r>
      </w:hyperlink>
    </w:p>
    <w:p>
      <w:hyperlink r:id="rId13">
        <w:r>
          <w:rPr>
            <w:color w:val="0000FF"/>
            <w:u w:val="single"/>
          </w:rPr>
          <w:t xml:space="preserve">Telegram </w:t>
        </w:r>
      </w:hyperlink>
      <w:hyperlink r:id="rId14">
        <w:r>
          <w:rPr>
            <w:color w:val="0000FF"/>
            <w:u w:val="single"/>
          </w:rPr>
          <w:t xml:space="preserve">Facebook </w:t>
        </w:r>
      </w:hyperlink>
      <w:hyperlink r:id="rId15">
        <w:r>
          <w:rPr>
            <w:color w:val="0000FF"/>
            <w:u w:val="single"/>
          </w:rPr>
          <w:t>ВКонтакте</w:t>
        </w:r>
      </w:hyperlink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nikol-i-bogh" TargetMode="External"/><Relationship Id="rId11" Type="http://schemas.openxmlformats.org/officeDocument/2006/relationships/hyperlink" Target="https://am.politsturm.com/garegin-nzhde-mif-i-realnost-chast-1/" TargetMode="External"/><Relationship Id="rId12" Type="http://schemas.openxmlformats.org/officeDocument/2006/relationships/hyperlink" Target="https://ru.yerevan.today/107745" TargetMode="External"/><Relationship Id="rId13" Type="http://schemas.openxmlformats.org/officeDocument/2006/relationships/hyperlink" Target="https://t.me/socarmenia?ref=am.politsturm.com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?ref=am.politstu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