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Маркс и Энгельс о роли масс в истории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2020-06-20</w:t>
      </w:r>
    </w:p>
    <w:p>
      <w:pPr/>
    </w:p>
    <w:p>
      <w:r/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«Право демократических народных масс оказывать своим присутствием моральное воздействие на позицию учредительных собраний есть старое революционное право народа, которое со времен английской и французской революций использовалось во все бурные эпохи. Этому праву история обязана почти всеми энергичными шагами таких собраний».</w:t>
      </w:r>
    </w:p>
    <w:p>
      <w:r/>
    </w:p>
    <w:p>
      <w:r>
        <w:rPr>
          <w:b/>
        </w:rPr>
        <w:t>Маркс К., Энгельс Ф. Соч. Т. 5. С. 436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marks-i-engels-o-roli-mass-v-istor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