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Глобальная инфляция, рост цен и кризис капитализма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596646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596646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2021-12-28</w:t>
      </w:r>
    </w:p>
    <w:p>
      <w:pPr/>
      <w:r>
        <w:t>6 мин. на чтение</w:t>
      </w:r>
    </w:p>
    <w:p>
      <w:r/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hyperlink r:id="rId24">
        <w:r>
          <w:rPr>
            <w:color w:val="0000FF"/>
            <w:u w:val="single"/>
          </w:rPr>
          <w:t>Telegram</w:t>
        </w:r>
      </w:hyperlink>
      <w:r>
        <w:br/>
      </w:r>
      <w:r>
        <w:br/>
      </w:r>
      <w:hyperlink r:id="rId25">
        <w:r>
          <w:rPr>
            <w:color w:val="0000FF"/>
            <w:u w:val="single"/>
          </w:rPr>
          <w:t>Facebook</w:t>
        </w:r>
      </w:hyperlink>
      <w:r>
        <w:br/>
      </w:r>
      <w:hyperlink r:id="rId26">
        <w:r>
          <w:rPr>
            <w:color w:val="0000FF"/>
            <w:u w:val="single"/>
          </w:rPr>
          <w:t>ВКонтакте</w:t>
        </w:r>
      </w:hyperlink>
      <w:r>
        <w:br/>
      </w:r>
      <w:r>
        <w:br/>
      </w:r>
      <w:r/>
    </w:p>
    <w:p>
      <w:r>
        <w:t>То, что происходит с реальной инфляцией в мире, беспрецедентно</w:t>
      </w:r>
      <w:r>
        <w:t>. Рост цен настолько стремителен и масштабен, что ставит под угрозу всю мировую экономику. Если взглянуть на полтора года назад, то мы все были на пути к дефляции вслед за экономикой Японии, которая была путеводной звездой для других. Это  снижение инфляции было планомерным в последние десятилетия. В Японии все вылилось в дефляцию и стагнацию экономического роста, перенасыщению потребительского спроса. Сейчас же растут мировые цены огромными темпами практически на все.</w:t>
      </w:r>
    </w:p>
    <w:p>
      <w:r/>
      <w:r>
        <w:t>Цены на продукты питания в Армении поднялись до болезненно высокого уровня, а устранить причины роста – глобальную инфляцию, неурожай и экономическую депрессию, усугубленную пандемией и войной, – будет не так просто.</w:t>
      </w:r>
    </w:p>
    <w:p>
      <w:r>
        <w:t xml:space="preserve">Потребительские цены в Армении в ноябре 2021 года по сравнению с октябрем 2020 года </w:t>
      </w:r>
      <w:hyperlink r:id="rId11">
        <w:r>
          <w:rPr>
            <w:color w:val="0000FF"/>
            <w:u w:val="single"/>
          </w:rPr>
          <w:t>повысились</w:t>
        </w:r>
      </w:hyperlink>
      <w:r>
        <w:t xml:space="preserve"> на 9,6%, а за месяц – на 1,7%. Об этом свидетельствуют данные отчета Национального статистического комитета (НСК) Армении.</w:t>
      </w:r>
    </w:p>
    <w:p>
      <w:r>
        <w:t xml:space="preserve">При этом, за январь-ноябрь текущего года по сравнению с аналогичным периодом 2020 года рост потребительских цен составил 7,1%. </w:t>
      </w:r>
    </w:p>
    <w:p>
      <w:r>
        <w:t>Согласно данным НСК, в ноябре 2021 года по сравнению с ноябрем 2020 года цены на продовольственные товары и безалкогольные напитки повысились на 16,9%, а по сравнению с октябрем текущего года – на 3,7%.</w:t>
      </w:r>
    </w:p>
    <w:p>
      <w:r>
        <w:t xml:space="preserve">При этом, согласно статданным, цены на непродовольственные товары в ноябре 2021 года по сравнению с ноябрем прошлого года выросли на 9,9%, а по сравнению с октябрем 2021 – на 0,8%. </w:t>
      </w:r>
    </w:p>
    <w:p>
      <w:r>
        <w:t xml:space="preserve">Кроме того, инфляция на тарифы в сфере услуг в ноябре в годовом разрезе составила 1,8%, а по сравнению с октябрем 0,4%. </w:t>
      </w:r>
    </w:p>
    <w:p>
      <w:r>
        <w:t xml:space="preserve">При этом инфляция сейчас находится на многолетних максимумах не только в Армении, но и во многих странах мира. Например, годовая инфляция в России в ноябре </w:t>
      </w:r>
      <w:hyperlink r:id="rId12">
        <w:r>
          <w:rPr>
            <w:color w:val="0000FF"/>
            <w:u w:val="single"/>
          </w:rPr>
          <w:t xml:space="preserve">выросла </w:t>
        </w:r>
      </w:hyperlink>
      <w:r>
        <w:t>до 8,4%. Таких показателей россияне не видели с февраля 2016 года. В США впервые с 1990 года она</w:t>
      </w:r>
      <w:hyperlink r:id="rId13">
        <w:r>
          <w:rPr>
            <w:color w:val="0000FF"/>
            <w:u w:val="single"/>
          </w:rPr>
          <w:t xml:space="preserve"> превысила</w:t>
        </w:r>
      </w:hyperlink>
      <w:r>
        <w:t xml:space="preserve"> психологически важную планку в 6%, а в еврозоне обновила 13-летний максимум, </w:t>
      </w:r>
      <w:hyperlink r:id="rId14">
        <w:r>
          <w:rPr>
            <w:color w:val="0000FF"/>
            <w:u w:val="single"/>
          </w:rPr>
          <w:t>достигнув</w:t>
        </w:r>
      </w:hyperlink>
      <w:r>
        <w:t xml:space="preserve"> в ноябре 4,9%. </w:t>
      </w:r>
    </w:p>
    <w:p>
      <w:r>
        <w:t xml:space="preserve">Согласно </w:t>
      </w:r>
      <w:hyperlink r:id="rId15">
        <w:r>
          <w:rPr>
            <w:color w:val="0000FF"/>
            <w:u w:val="single"/>
          </w:rPr>
          <w:t>данным</w:t>
        </w:r>
      </w:hyperlink>
      <w:r>
        <w:t xml:space="preserve">, опубликованным Продовольственной и сельскохозяйственной организацией Объединенных Наций (ФАО), в ноябре показатель мировых цен на продовольственные товары продолжил расти четвертый месяц, </w:t>
      </w:r>
      <w:hyperlink r:id="rId16">
        <w:r>
          <w:rPr>
            <w:color w:val="0000FF"/>
            <w:u w:val="single"/>
          </w:rPr>
          <w:t>побив 10-летний антирекорд</w:t>
        </w:r>
      </w:hyperlink>
      <w:r>
        <w:t>.  В этом месяце среднее значение</w:t>
      </w:r>
      <w:r>
        <w:t xml:space="preserve"> </w:t>
      </w:r>
      <w:r>
        <w:t>Индекса продовольственных цен ФАО  на 1,2% превысило октябрьский показатель и оказалось на 27,3% выше показателя за аналогичный период 2020 года.</w:t>
      </w:r>
    </w:p>
    <w:p>
      <w:r>
        <w:t>Экономист из Гарварда Ларри Саммерс</w:t>
      </w:r>
      <w:hyperlink r:id="rId17">
        <w:r>
          <w:rPr>
            <w:color w:val="0000FF"/>
            <w:u w:val="single"/>
          </w:rPr>
          <w:t xml:space="preserve">  недавно упрекнул ФРС,</w:t>
        </w:r>
      </w:hyperlink>
      <w:r>
        <w:t xml:space="preserve"> обвинив центральный банк США в «опасном самодовольстве» за поощрение «инфляционного давления такого рода, которого мы не видели в течение целого поколения».</w:t>
      </w:r>
    </w:p>
    <w:p>
      <w:r>
        <w:t>Однако реальное беспокойство Саммерса вызывает не столько  сама инфляция, скорее, как и многие представители правящего класса, он обеспокоен тем, что лечение может быть хуже, чем болезнь.</w:t>
      </w:r>
    </w:p>
    <w:p>
      <w:r>
        <w:t>Столкнувшись с безудержной инфляцией, предупредил видный экономист-демократ, ФРС будет вынуждена провести «коленопреклоненное» повышение процентных ставок, чтобы «охладить» экономику, ограничив денежную массу.</w:t>
      </w:r>
    </w:p>
    <w:p>
      <w:r>
        <w:t>Но с капитализмом, зависимым от дешевых кредитов, такое ужесточение может оказаться катастрофическим. Задолжавшие домохозяйства и правительства будут ввергнуты в банкротство. А деньги</w:t>
      </w:r>
      <w:hyperlink r:id="rId18">
        <w:r>
          <w:rPr>
            <w:color w:val="0000FF"/>
            <w:u w:val="single"/>
          </w:rPr>
          <w:t xml:space="preserve"> будут устремляться с фондовых рынков в другие безопасные гавани,</w:t>
        </w:r>
      </w:hyperlink>
      <w:r>
        <w:t xml:space="preserve"> заставляя пузыри лопаться слева, справа и в центре.</w:t>
      </w:r>
    </w:p>
    <w:p>
      <w:r>
        <w:t>Рожденный в США, этот кризис вскоре распространился по всему миру. Ведь, как говорится: когда Америка чихает, остальной мир простывает.</w:t>
      </w:r>
    </w:p>
    <w:p>
      <w:r>
        <w:t>Такой хаотичный сценарий может быстро убить любое зарождающееся восстановление, вернув американскую и мировую экономику обратно в рецессию и подтолкнув миллионы людей к безработице.</w:t>
      </w:r>
    </w:p>
    <w:p>
      <w:r>
        <w:t>Как именно все сложится, предсказать невозможно. У нас нет хрустального шара. Ход событий зависит от целого ряда взаимодействующих факторов – не только экономических, но и политических решений и эволюции пандемии.</w:t>
      </w:r>
    </w:p>
    <w:p>
      <w:r>
        <w:t>Важная задача, однако, состоит не в том, чтобы попытаться предсказать точные движения капиталистической системы, а в том, чтобы установить, продолжает ли она развиваться или находится в упадке.</w:t>
      </w:r>
    </w:p>
    <w:p>
      <w:r>
        <w:t>Это важный вопрос, с которым мы сталкиваемся при понимании нынешнего периода и перспектив капитализма.</w:t>
      </w:r>
    </w:p>
    <w:p>
      <w:r>
        <w:t>Проще говоря: находимся ли мы в таком же периоде как после Второй мировой войны, когда капитализм пережил длительный подъем, который обеспечил материальную основу для социально-экономических реформ?</w:t>
      </w:r>
    </w:p>
    <w:p>
      <w:r>
        <w:t>И в этом вопросе мы можем быть более категоричными и четко заявить: возврата послевоенного бума не будет. Условий для такого развития не существует.</w:t>
      </w:r>
    </w:p>
    <w:p>
      <w:r>
        <w:t>В самом деле, отступив назад и взглянув на более широкую картину последних четырех десятилетий, мы видим, что все показатели здоровья капитализма находятся на четкой нисходящей траектории: от</w:t>
      </w:r>
      <w:hyperlink r:id="rId19">
        <w:r>
          <w:rPr>
            <w:color w:val="0000FF"/>
            <w:u w:val="single"/>
          </w:rPr>
          <w:t xml:space="preserve"> роста производительности</w:t>
        </w:r>
      </w:hyperlink>
      <w:r>
        <w:t xml:space="preserve"> до</w:t>
      </w:r>
      <w:hyperlink r:id="rId20">
        <w:r>
          <w:rPr>
            <w:color w:val="0000FF"/>
            <w:u w:val="single"/>
          </w:rPr>
          <w:t xml:space="preserve"> загрузки мощностей</w:t>
        </w:r>
      </w:hyperlink>
      <w:r>
        <w:t>,  от</w:t>
      </w:r>
      <w:hyperlink r:id="rId21">
        <w:r>
          <w:rPr>
            <w:color w:val="0000FF"/>
            <w:u w:val="single"/>
          </w:rPr>
          <w:t xml:space="preserve"> инвестирования в бизнес</w:t>
        </w:r>
      </w:hyperlink>
      <w:r>
        <w:t xml:space="preserve"> до</w:t>
      </w:r>
      <w:hyperlink r:id="rId22">
        <w:r>
          <w:rPr>
            <w:color w:val="0000FF"/>
            <w:u w:val="single"/>
          </w:rPr>
          <w:t xml:space="preserve"> процентных ставок</w:t>
        </w:r>
      </w:hyperlink>
      <w:hyperlink r:id="rId23">
        <w:r>
          <w:rPr>
            <w:color w:val="0000FF"/>
            <w:u w:val="single"/>
          </w:rPr>
          <w:t>.</w:t>
        </w:r>
      </w:hyperlink>
      <w:r>
        <w:t xml:space="preserve">   </w:t>
      </w:r>
    </w:p>
    <w:p>
      <w:r>
        <w:t>Подъем, наблюдаемый после Второй мировой войны, был основан на стечении факторов. К ним в первую очередь относятся: разрушение производительных сил во время войны, которое проложило путь для новых инвестиций; массовое расширение мировой торговли, основанное на гегемонистской позиции американского империализма и открытии новых рынков.</w:t>
      </w:r>
    </w:p>
    <w:p>
      <w:r>
        <w:t>Аналогичным образом, общий период роста, наблюдавшийся в 1980-х и 90-х годах, стал возможным благодаря продолжающемуся расширению торговли (глобализации), включая присоединение Китая и России к мировому рынку путем восстановления капитализма.</w:t>
      </w:r>
    </w:p>
    <w:p>
      <w:r>
        <w:t>Но ни одно из этих условий не существует сегодня. Вместо расширения мировой торговли мы видим протекционизм на марше. А путей для выгодных инвестиций – движущей силы реального экономического роста при капитализме – не хватает.</w:t>
      </w:r>
    </w:p>
    <w:p>
      <w:r>
        <w:t xml:space="preserve">В настоящее время есть жалобы на дефицит. </w:t>
      </w:r>
      <w:r>
        <w:t>Общей чертой эпохи, однако,  является не дефицит, а перепроизводство.</w:t>
      </w:r>
    </w:p>
    <w:p>
      <w:r>
        <w:t>До пандемии симптомы этого можно было увидеть повсюду: рынки, перенасыщенные сырьевыми товарами; избыточные мощности в отраслях промышленности по всем направлениям – от сои до стали и смартфонов; низкие цены; безудержные спекуляции и скопления свободных денежных средств в руках крупного бизнеса.</w:t>
      </w:r>
    </w:p>
    <w:p>
      <w:r>
        <w:t>И вместо того, чтобы разрешить это противоречие, все меры, предпринятые правящим классом в ответ на коронавирусный кризис, усугубили перепроизводство и нестабильность внутри системы.</w:t>
      </w:r>
    </w:p>
    <w:p>
      <w:r>
        <w:t>Наконец, государственная поддержка выступает в качестве формы протекционизма, становясь как причиной, так и следствием большего перепроизводства в глобальном масштабе. Каждое правительство использует государственное вмешательство для защиты своих собственных рынков и бизнеса, по сути, пытаясь экспортировать кризис в другие места. Но общее влияние такой политики «разори соседа» заключается в сокращении мирового рынка, росте избыточных мощностей во всех секторах.</w:t>
      </w:r>
    </w:p>
    <w:p>
      <w:r>
        <w:t>В конечном счете проблема заключается в самой капиталистической системе и присущем ей противоречии: частной собственности на средства производства. Если бы банки и промышленные монополии были национализированы под контролем рабочих, профсоюзов и выборных представителей, то экономика могла бы планироваться в интересах простых людей, а не ради максимизации прибыли. Все свободные мощности в экономике могут быть использованы для производства сверхобилия товаров, улучшения инфраструктуры и инвестиций в школы, больницы и жилье. Инфляция является бичом рабочего класса. Она должна быть искоренена за счет банкиров и капиталистов, а не обычных людей.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am.politsturm.com/globalnaya-inflyaciya-rost-cen-i-krizis-kapitalizma" TargetMode="External"/><Relationship Id="rId11" Type="http://schemas.openxmlformats.org/officeDocument/2006/relationships/hyperlink" Target="http://arka.am/ru/news/economy/indeks_potrebitelskikh_tsen_v_armenii_v_noyabre_povysilsya_na_9_6/" TargetMode="External"/><Relationship Id="rId12" Type="http://schemas.openxmlformats.org/officeDocument/2006/relationships/hyperlink" Target="https://www.interfax.ru/business/808340" TargetMode="External"/><Relationship Id="rId13" Type="http://schemas.openxmlformats.org/officeDocument/2006/relationships/hyperlink" Target="http://www.wsj.com/articles/us-inflation-consumer-price-index-october-2021-11636491959" TargetMode="External"/><Relationship Id="rId14" Type="http://schemas.openxmlformats.org/officeDocument/2006/relationships/hyperlink" Target="https://ec.europa.eu/eurostat/documents/2995521/11563387/2-30112021-AP-EN.pdf/8072b1c7-4379-7fbe-af36-ec2300c42265" TargetMode="External"/><Relationship Id="rId15" Type="http://schemas.openxmlformats.org/officeDocument/2006/relationships/hyperlink" Target="https://www.fao.org/newsroom/detail/fao-food-price-index-rises-in-november/ru" TargetMode="External"/><Relationship Id="rId16" Type="http://schemas.openxmlformats.org/officeDocument/2006/relationships/hyperlink" Target="https://www.reuters.com/markets/commodities/world-food-prices-climb-november-stay-10-year-peak-fao-2021-12-02/" TargetMode="External"/><Relationship Id="rId17" Type="http://schemas.openxmlformats.org/officeDocument/2006/relationships/hyperlink" Target="https://www.ft.com/content/9935be40-d041-4b7d-acac-4d86f3c25100" TargetMode="External"/><Relationship Id="rId18" Type="http://schemas.openxmlformats.org/officeDocument/2006/relationships/hyperlink" Target="https://www.ft.com/content/4c241565-1d48-46ac-83b2-74ec92c09e44" TargetMode="External"/><Relationship Id="rId19" Type="http://schemas.openxmlformats.org/officeDocument/2006/relationships/hyperlink" Target="https://www.intereconomics.eu/contents/year/2017/number/1/article/the-global-productivity-slowdown-diagnosis-causes-and-remedies.html" TargetMode="External"/><Relationship Id="rId20" Type="http://schemas.openxmlformats.org/officeDocument/2006/relationships/hyperlink" Target="https://tradingeconomics.com/united-states/capacity-utilization" TargetMode="External"/><Relationship Id="rId21" Type="http://schemas.openxmlformats.org/officeDocument/2006/relationships/hyperlink" Target="https://twitter.com/adam_tooze/status/1314682046883614723" TargetMode="External"/><Relationship Id="rId22" Type="http://schemas.openxmlformats.org/officeDocument/2006/relationships/hyperlink" Target="https://tradingeconomics.com/united-states/interest-rate" TargetMode="External"/><Relationship Id="rId23" Type="http://schemas.openxmlformats.org/officeDocument/2006/relationships/hyperlink" Target="https://www.businessinsider.com/why-labors-gdp-share-is-on-decline-2015-9?r=US&amp;IR=T" TargetMode="External"/><Relationship Id="rId24" Type="http://schemas.openxmlformats.org/officeDocument/2006/relationships/hyperlink" Target="https://t.me/socarmenia" TargetMode="External"/><Relationship Id="rId25" Type="http://schemas.openxmlformats.org/officeDocument/2006/relationships/hyperlink" Target="https://www.facebook.com/groups/903780589760013/" TargetMode="External"/><Relationship Id="rId26" Type="http://schemas.openxmlformats.org/officeDocument/2006/relationships/hyperlink" Target="https://vk.com/socarmeni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